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Framework for change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color w:val="990000"/>
          <w:sz w:val="18"/>
          <w:szCs w:val="18"/>
        </w:rPr>
      </w:pPr>
      <w:r w:rsidDel="00000000" w:rsidR="00000000" w:rsidRPr="00000000">
        <w:rPr>
          <w:i w:val="1"/>
          <w:color w:val="990000"/>
          <w:sz w:val="18"/>
          <w:szCs w:val="18"/>
          <w:rtl w:val="0"/>
        </w:rPr>
        <w:t xml:space="preserve">This tool, </w:t>
      </w:r>
      <w:hyperlink r:id="rId6">
        <w:r w:rsidDel="00000000" w:rsidR="00000000" w:rsidRPr="00000000">
          <w:rPr>
            <w:i w:val="1"/>
            <w:color w:val="1155cc"/>
            <w:sz w:val="18"/>
            <w:szCs w:val="18"/>
            <w:u w:val="single"/>
            <w:rtl w:val="0"/>
          </w:rPr>
          <w:t xml:space="preserve">downloaded from the BEAM Exchange</w:t>
        </w:r>
      </w:hyperlink>
      <w:r w:rsidDel="00000000" w:rsidR="00000000" w:rsidRPr="00000000">
        <w:rPr>
          <w:i w:val="1"/>
          <w:color w:val="990000"/>
          <w:sz w:val="18"/>
          <w:szCs w:val="18"/>
          <w:rtl w:val="0"/>
        </w:rPr>
        <w:t xml:space="preserve">, is part of the MSA Toolkit.</w:t>
      </w:r>
      <w:r w:rsidDel="00000000" w:rsidR="00000000" w:rsidRPr="00000000">
        <w:rPr>
          <w:i w:val="1"/>
          <w:color w:val="990000"/>
          <w:sz w:val="18"/>
          <w:szCs w:val="18"/>
          <w:rtl w:val="0"/>
        </w:rPr>
        <w:t xml:space="preserve"> It helps establish boundaries at the beginning of the MSA effort and keeps the MSA team focused during the research and analysis phase. Pros: easy to do and very useful. </w:t>
      </w:r>
      <w:r w:rsidDel="00000000" w:rsidR="00000000" w:rsidRPr="00000000">
        <w:rPr>
          <w:color w:val="99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MSA and strategy/intervention design efforts are guided by a “framework for change”, which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defines the market system, target geography, groups, and impact objectives of potential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interventions to ensure complementarity and sustainable impact.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The framework for change should be revisited and updated periodically throughout the MSA and strategy/intervention design effort.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7380"/>
        <w:tblGridChange w:id="0">
          <w:tblGrid>
            <w:gridCol w:w="1980"/>
            <w:gridCol w:w="73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Market system(s)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Geographic areas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Target groups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Impact objectives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Theory of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Feasibility of inducing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eamexchange.org/resources/199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