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Rule="auto"/>
        <w:rPr/>
      </w:pPr>
      <w:r w:rsidDel="00000000" w:rsidR="00000000" w:rsidRPr="00000000">
        <w:rPr>
          <w:rFonts w:ascii="Arial" w:cs="Arial" w:eastAsia="Arial" w:hAnsi="Arial"/>
          <w:b w:val="1"/>
          <w:i w:val="1"/>
          <w:color w:val="990000"/>
          <w:sz w:val="18"/>
          <w:szCs w:val="18"/>
          <w:u w:val="single"/>
          <w:rtl w:val="0"/>
        </w:rPr>
        <w:t xml:space="preserve">Honduras Market Systems Assessment Report Outline (Transforming Market Systems Activity): </w:t>
      </w:r>
      <w:r w:rsidDel="00000000" w:rsidR="00000000" w:rsidRPr="00000000">
        <w:rPr>
          <w:rFonts w:ascii="Arial" w:cs="Arial" w:eastAsia="Arial" w:hAnsi="Arial"/>
          <w:i w:val="1"/>
          <w:color w:val="990000"/>
          <w:sz w:val="18"/>
          <w:szCs w:val="18"/>
          <w:rtl w:val="0"/>
        </w:rPr>
        <w:t xml:space="preserve">This tool, downloaded from the </w:t>
      </w:r>
      <w:hyperlink r:id="rId8">
        <w:r w:rsidDel="00000000" w:rsidR="00000000" w:rsidRPr="00000000">
          <w:rPr>
            <w:rFonts w:ascii="Arial" w:cs="Arial" w:eastAsia="Arial" w:hAnsi="Arial"/>
            <w:i w:val="1"/>
            <w:color w:val="1155cc"/>
            <w:sz w:val="18"/>
            <w:szCs w:val="18"/>
            <w:u w:val="single"/>
            <w:rtl w:val="0"/>
          </w:rPr>
          <w:t xml:space="preserve">BEAM Exchange</w:t>
        </w:r>
      </w:hyperlink>
      <w:r w:rsidDel="00000000" w:rsidR="00000000" w:rsidRPr="00000000">
        <w:rPr>
          <w:rFonts w:ascii="Arial" w:cs="Arial" w:eastAsia="Arial" w:hAnsi="Arial"/>
          <w:i w:val="1"/>
          <w:color w:val="990000"/>
          <w:sz w:val="18"/>
          <w:szCs w:val="18"/>
          <w:rtl w:val="0"/>
        </w:rPr>
        <w:t xml:space="preserve">, is part of the MSA Toolkit.</w:t>
      </w:r>
      <w:r w:rsidDel="00000000" w:rsidR="00000000" w:rsidRPr="00000000">
        <w:rPr>
          <w:rFonts w:ascii="Arial" w:cs="Arial" w:eastAsia="Arial" w:hAnsi="Arial"/>
          <w:i w:val="1"/>
          <w:color w:val="990000"/>
          <w:sz w:val="18"/>
          <w:szCs w:val="18"/>
          <w:rtl w:val="0"/>
        </w:rPr>
        <w:t xml:space="preserve"> It is a sample MSA outline for effort used to select market systems using an observation-based approach. This is a very different example than the rest of MSA report outlines, given TMS used the observation-based approach.</w:t>
      </w:r>
      <w:r w:rsidDel="00000000" w:rsidR="00000000" w:rsidRPr="00000000">
        <w:rPr>
          <w:rtl w:val="0"/>
        </w:rPr>
      </w:r>
    </w:p>
    <w:p w:rsidR="00000000" w:rsidDel="00000000" w:rsidP="00000000" w:rsidRDefault="00000000" w:rsidRPr="00000000" w14:paraId="00000002">
      <w:pPr>
        <w:pStyle w:val="Heading2"/>
        <w:tabs>
          <w:tab w:val="left" w:leader="none" w:pos="5448"/>
        </w:tabs>
        <w:rPr>
          <w:b w:val="1"/>
        </w:rPr>
      </w:pPr>
      <w:r w:rsidDel="00000000" w:rsidR="00000000" w:rsidRPr="00000000">
        <w:rPr>
          <w:b w:val="1"/>
          <w:rtl w:val="0"/>
        </w:rPr>
        <w:t xml:space="preserve">Market Systems Analysis (Real Sectors)</w:t>
        <w:tab/>
      </w:r>
    </w:p>
    <w:p w:rsidR="00000000" w:rsidDel="00000000" w:rsidP="00000000" w:rsidRDefault="00000000" w:rsidRPr="00000000" w14:paraId="00000003">
      <w:pPr>
        <w:rPr>
          <w:i w:val="1"/>
          <w:sz w:val="18"/>
          <w:szCs w:val="18"/>
        </w:rPr>
      </w:pPr>
      <w:r w:rsidDel="00000000" w:rsidR="00000000" w:rsidRPr="00000000">
        <w:rPr>
          <w:i w:val="1"/>
          <w:sz w:val="18"/>
          <w:szCs w:val="18"/>
          <w:rtl w:val="0"/>
        </w:rPr>
        <w:t xml:space="preserve">Estimated length: 20 pages maximum</w:t>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INTRODUCTION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Distinct sub-sectors and sub-groups of organizations surveyed in the MSA</w:t>
      </w:r>
    </w:p>
    <w:p w:rsidR="00000000" w:rsidDel="00000000" w:rsidP="00000000" w:rsidRDefault="00000000" w:rsidRPr="00000000" w14:paraId="0000000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Any relevant sector or sub-sector statistics (employment, GDP, exports, etc.)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ROLES: </w:t>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Actors and their functions in the system</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Description of actors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(for the sector OR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for each subsector if they are distinct</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starting with end market followed by succession of functions (e.g. production, processing, trade, etc.)</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End markets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key end markets segments –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see end market analysis (EMA) – Annex 1</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Function 1</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key activities and operations, number of actors, range and predominance of sizes, predominant types of actors (by e.g., business model, organizational structure, capacity)</w:t>
      </w:r>
    </w:p>
    <w:p w:rsidR="00000000" w:rsidDel="00000000" w:rsidP="00000000" w:rsidRDefault="00000000" w:rsidRPr="00000000" w14:paraId="0000000F">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Function 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:…etc.</w:t>
      </w:r>
    </w:p>
    <w:p w:rsidR="00000000" w:rsidDel="00000000" w:rsidP="00000000" w:rsidRDefault="00000000" w:rsidRPr="00000000" w14:paraId="00000010">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1">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External services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What are the most frequently used external services, used by which actors and why? Consider, for example, finance, marketing, communications, IT, advocacy, labor/human resource, insurance, etc.</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Map of the sector</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(or maps for each distinct subsectors) to include:</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End-market segments on top</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Functions on left-hand side</w:t>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Groups of similar actors represented by boxes mapped according to functions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(includes n=number of actors)</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Arrows connecting groups of actors that vary in size depending on predominance of material/product flows</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History.</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In the past 3 to 5 years, what are the most significant changes that actors have commonly experienced (in the sector or in different subsectors)? </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 what ways have actors effectively adapted or responded to changes? </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What have been key difficulties in adapting to changes?</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Trajectory.</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In the next 3 to 5 years, what are the most significant changes that actors commonly expect (in the sector or in different subsectors)? </w:t>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 what ways do actors expect to adapt to or take advantage of these changes?</w:t>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What difficulties do actors expect to encounter in face of these changes?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RELATIONSHIPS: </w:t>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Alliances, competition, and cooperation</w:t>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superscript"/>
        </w:rPr>
        <w:footnoteReference w:customMarkFollows="0" w:id="0"/>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Alliances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(differentiate by subsector as necessary). Example alliances include joint ventures, outsourcing, licensing, franchising, distribution relationships, etc.</w:t>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What are actors’ most important alliances? How are they most commonly structured? What usefulness or advantage do these alliances bring?</w:t>
      </w:r>
    </w:p>
    <w:p w:rsidR="00000000" w:rsidDel="00000000" w:rsidP="00000000" w:rsidRDefault="00000000" w:rsidRPr="00000000" w14:paraId="000000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Actors in the sector could derive value by forging stronger alliances with which other actors and why? How might they be structured and how would actors benefit?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Competition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(differentiate by subsector as necessary)</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 what ways does competition between actors create barriers to entry or participation in the sector? Where in the sector is such competition most prevalent and why?</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 what ways does competition between actors drive innovation, investments, or upgrading of performance practices? Where in the sector is such competition most prevalent and why?</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Cooperation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(differentiate by subsector as necessary)</w:t>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 what ways does cooperation between actors create barriers to entry or participation in the sector? Where in the sector is such cooperation most prevalent and why?</w:t>
      </w:r>
    </w:p>
    <w:p w:rsidR="00000000" w:rsidDel="00000000" w:rsidP="00000000" w:rsidRDefault="00000000" w:rsidRPr="00000000" w14:paraId="000000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 what ways does cooperation between actors result in performance improvements and greater access to markets? Where in the sector is such cooperation most prevalent and why?</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Inclusion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of specific populations (differentiate by sector as necessary)</w:t>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What barriers exist to the entry or participation of female, youth, and other populations in the sector? Where is the sector are barriers most prevalent and why?</w:t>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Where do females, youth and other populations have the greatest opportunities to enter and/or participate in the sector and why?</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RESOURCES. </w:t>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Use of resources</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Which resources are most important to the function and why?</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(differentiate by subsector as necessary) Consider: land, utilities, financing, labor (skilled, unskilled), R&amp;D/innovation, information, advisory services, business services, public funding, donor funding, sector-specific</w:t>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Which resources are most available and why? Which actors have difficulties accessing these resources and why?</w:t>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Which resources are least available and why? Which actors have the easiest access to these resources and why?</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What barriers to which resources do vulnerable populations experience most and why?</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RULES. </w:t>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Formal and informal rules and their influence on the sector</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Rules (formal)</w:t>
      </w:r>
    </w:p>
    <w:p w:rsidR="00000000" w:rsidDel="00000000" w:rsidP="00000000" w:rsidRDefault="00000000" w:rsidRPr="00000000" w14:paraId="00000041">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What are the policies, procedural requirements, regulations, etc. with the most negative impact on actors in the sector (disaggregate by subsector as necessary) and how? Which actors are most affected and why?</w:t>
      </w:r>
    </w:p>
    <w:p w:rsidR="00000000" w:rsidDel="00000000" w:rsidP="00000000" w:rsidRDefault="00000000" w:rsidRPr="00000000" w14:paraId="00000042">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What are the implementing and supporting institutions (municipal, public, private, associations, etc.) charged with the implementation of those policies, procedural requirements, regulations, etc.? How effective or ineffective are those institutions in fulfilling that role? </w:t>
      </w:r>
    </w:p>
    <w:p w:rsidR="00000000" w:rsidDel="00000000" w:rsidP="00000000" w:rsidRDefault="00000000" w:rsidRPr="00000000" w14:paraId="00000043">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How would you characterize actors’ willingness to participate in efforts to improve the enabling environment? Which issues are actors most willing to address? Which actors are the most willing to participate in and/or lead efforts?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Rules (informal)</w:t>
      </w:r>
    </w:p>
    <w:p w:rsidR="00000000" w:rsidDel="00000000" w:rsidP="00000000" w:rsidRDefault="00000000" w:rsidRPr="00000000" w14:paraId="0000004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 what way, positively or negatively, do owners’ and managers’ beliefs and values affect (think about implicit or explicit biases, organizational culture, norms, etc.</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Pr>
        <w:footnoteReference w:customMarkFollows="0" w:id="1"/>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how they determine: </w:t>
      </w:r>
    </w:p>
    <w:p w:rsidR="00000000" w:rsidDel="00000000" w:rsidP="00000000" w:rsidRDefault="00000000" w:rsidRPr="00000000" w14:paraId="000000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Who works for the business and their prospects for advancement?</w:t>
      </w:r>
    </w:p>
    <w:p w:rsidR="00000000" w:rsidDel="00000000" w:rsidP="00000000" w:rsidRDefault="00000000" w:rsidRPr="00000000" w14:paraId="000000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Who provides the business with inputs and raw materials and how is this trade structured?</w:t>
      </w:r>
    </w:p>
    <w:p w:rsidR="00000000" w:rsidDel="00000000" w:rsidP="00000000" w:rsidRDefault="00000000" w:rsidRPr="00000000" w14:paraId="000000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The viability and/or growth prospects of the business?</w:t>
      </w:r>
    </w:p>
    <w:p w:rsidR="00000000" w:rsidDel="00000000" w:rsidP="00000000" w:rsidRDefault="00000000" w:rsidRPr="00000000" w14:paraId="000000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The types of alliances and inter-relationships important to the business?</w:t>
      </w:r>
    </w:p>
    <w:p w:rsidR="00000000" w:rsidDel="00000000" w:rsidP="00000000" w:rsidRDefault="00000000" w:rsidRPr="00000000" w14:paraId="000000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The willingness to innovate new products and technologies? </w:t>
      </w:r>
    </w:p>
    <w:p w:rsidR="00000000" w:rsidDel="00000000" w:rsidP="00000000" w:rsidRDefault="00000000" w:rsidRPr="00000000" w14:paraId="0000004C">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Which effects are most prevalent in the sector and by which actors?</w:t>
      </w:r>
    </w:p>
    <w:p w:rsidR="00000000" w:rsidDel="00000000" w:rsidP="00000000" w:rsidRDefault="00000000" w:rsidRPr="00000000" w14:paraId="0000004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Which effects are least prevalent in the sector and by which actors?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RESULTS. </w:t>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Competitiveness, inclusiveness, and resilience</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Competitiveness</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What are the highest potential growth opportunities in the sector or subsectors? </w:t>
      </w:r>
    </w:p>
    <w:p w:rsidR="00000000" w:rsidDel="00000000" w:rsidP="00000000" w:rsidRDefault="00000000" w:rsidRPr="00000000" w14:paraId="000000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Which actors do you expect to pursue these opportunities? What do actors need to do to take advantage of these opportunities in terms of, for example, efficiency gains, quality improvements, investments, performance upgrades, new alliances or relationships, etc.?</w:t>
      </w:r>
    </w:p>
    <w:p w:rsidR="00000000" w:rsidDel="00000000" w:rsidP="00000000" w:rsidRDefault="00000000" w:rsidRPr="00000000" w14:paraId="000000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Which sorts of actors do you expect to NOT pursue these opportunities and why?</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Which actors do you believe to be the most competitive in the sector or in different subsectors? Are there any outliers which model or demonstrate best practices within the sector? </w:t>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What do they do differently or better than others in terms of, for example, performance practices, management systems, alliances and relationships, etc.</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Inclusiveness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where are the poor and marginalized within the sector and what is the potential to include the poor and marginalized in economic opportunities within the sector? </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Resilience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5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What are major shocks, stressors or other vulnerabilities within the sector? Think of any major climate impacts, demand or price shock, supply chain, political or policy, etc. </w:t>
      </w:r>
    </w:p>
    <w:p w:rsidR="00000000" w:rsidDel="00000000" w:rsidP="00000000" w:rsidRDefault="00000000" w:rsidRPr="00000000" w14:paraId="0000005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How strong are the absorptive or adaptive capacities of businesses within the sector to recover from shocks? Which actors and/or which subsectors are most willing, able and disposed to:</w:t>
      </w:r>
    </w:p>
    <w:p w:rsidR="00000000" w:rsidDel="00000000" w:rsidP="00000000" w:rsidRDefault="00000000" w:rsidRPr="00000000" w14:paraId="000000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expanding the use of external services (finance, etc.) to recover from shocks, </w:t>
      </w:r>
    </w:p>
    <w:p w:rsidR="00000000" w:rsidDel="00000000" w:rsidP="00000000" w:rsidRDefault="00000000" w:rsidRPr="00000000" w14:paraId="0000006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forging more strategic alliances to build resiliency or redundancy to mitigate impact of shocks, </w:t>
      </w:r>
    </w:p>
    <w:p w:rsidR="00000000" w:rsidDel="00000000" w:rsidP="00000000" w:rsidRDefault="00000000" w:rsidRPr="00000000" w14:paraId="0000006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engaging in cooperative relations that result in performance improvements across the sector and greater access to markets that reduce vulnerability to shocks and stressors.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Sub-sectors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within the sector which sub-sectors or value chains offer the best potential to generate competitive, inclusive and resilient results</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Recommendations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identify any areas for intervention which offer promise to affect the roles, resources, relationships, and rules within the sector to generate more inclusive, resilient and competitive results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pStyle w:val="Heading2"/>
        <w:jc w:val="center"/>
        <w:rPr/>
      </w:pPr>
      <w:r w:rsidDel="00000000" w:rsidR="00000000" w:rsidRPr="00000000">
        <w:rPr>
          <w:rtl w:val="0"/>
        </w:rPr>
        <w:t xml:space="preserve">Annex: End Market Analysis (Economic Sectors)</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1"/>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MARKET SEGMENTATION:</w:t>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 What are the key market segments</w:t>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superscript"/>
        </w:rPr>
        <w:footnoteReference w:customMarkFollows="0" w:id="2"/>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 in each sector and the defining needs of customers within each segment?  </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Provide a description of each market segment. This includes a description of the buyers or consumers that represent that segment. For each buyer or customer segment define what their most important needs (attributes, key factors or benefits sought). Example customer needs can be: lowest price, reliable quality (elaborate on specific quality requirements), embedded services (advisory, after-sales support, finance), packaging/brand, timing (note seasonality), distribution channel, etc. To the extent possible, consolidate like products and services into segments - look for meaningful differences between segments but ensure customers within a segment are identifiable. Differences can be location of customer - for example international markets – but should be further defined by any major differences in needs and customer types. Example segments could include: North American grocery chains or business tourists in Honduras. The analysis should identify between 5-15 major end market segments in total for each sector. Cite sources and provide supporting data whenever possible. </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4762500</wp:posOffset>
                </wp:positionH>
                <wp:positionV relativeFrom="paragraph">
                  <wp:posOffset>63500</wp:posOffset>
                </wp:positionV>
                <wp:extent cx="1174115" cy="1131570"/>
                <wp:effectExtent b="0" l="0" r="0" t="0"/>
                <wp:wrapSquare wrapText="bothSides" distB="0" distT="0" distL="114300" distR="114300"/>
                <wp:docPr id="7" name=""/>
                <a:graphic>
                  <a:graphicData uri="http://schemas.microsoft.com/office/word/2010/wordprocessingGroup">
                    <wpg:wgp>
                      <wpg:cNvGrpSpPr/>
                      <wpg:grpSpPr>
                        <a:xfrm>
                          <a:off x="4758925" y="3214200"/>
                          <a:ext cx="1174115" cy="1131570"/>
                          <a:chOff x="4758925" y="3214200"/>
                          <a:chExt cx="1174150" cy="1131600"/>
                        </a:xfrm>
                      </wpg:grpSpPr>
                      <wpg:grpSp>
                        <wpg:cNvGrpSpPr/>
                        <wpg:grpSpPr>
                          <a:xfrm>
                            <a:off x="4758943" y="3214215"/>
                            <a:ext cx="1174115" cy="1131570"/>
                            <a:chOff x="119840" y="35111"/>
                            <a:chExt cx="1174267" cy="1132141"/>
                          </a:xfrm>
                        </wpg:grpSpPr>
                        <wps:wsp>
                          <wps:cNvSpPr/>
                          <wps:cNvPr id="3" name="Shape 3"/>
                          <wps:spPr>
                            <a:xfrm>
                              <a:off x="119840" y="35111"/>
                              <a:ext cx="1174250" cy="1132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72672" y="35291"/>
                              <a:ext cx="921434" cy="914400"/>
                              <a:chOff x="0" y="0"/>
                              <a:chExt cx="921434" cy="914400"/>
                            </a:xfrm>
                          </wpg:grpSpPr>
                          <wps:wsp>
                            <wps:cNvCnPr/>
                            <wps:spPr>
                              <a:xfrm rot="10800000">
                                <a:off x="0" y="0"/>
                                <a:ext cx="0" cy="914400"/>
                              </a:xfrm>
                              <a:prstGeom prst="straightConnector1">
                                <a:avLst/>
                              </a:prstGeom>
                              <a:noFill/>
                              <a:ln cap="flat" cmpd="sng" w="25400">
                                <a:solidFill>
                                  <a:schemeClr val="accent1"/>
                                </a:solidFill>
                                <a:prstDash val="solid"/>
                                <a:miter lim="800000"/>
                                <a:headEnd len="sm" w="sm" type="none"/>
                                <a:tailEnd len="med" w="med" type="triangle"/>
                              </a:ln>
                            </wps:spPr>
                            <wps:bodyPr anchorCtr="0" anchor="ctr" bIns="91425" lIns="91425" spcFirstLastPara="1" rIns="91425" wrap="square" tIns="91425">
                              <a:noAutofit/>
                            </wps:bodyPr>
                          </wps:wsp>
                          <wps:wsp>
                            <wps:cNvCnPr/>
                            <wps:spPr>
                              <a:xfrm>
                                <a:off x="7034" y="900333"/>
                                <a:ext cx="914400" cy="0"/>
                              </a:xfrm>
                              <a:prstGeom prst="straightConnector1">
                                <a:avLst/>
                              </a:prstGeom>
                              <a:noFill/>
                              <a:ln cap="flat" cmpd="sng" w="25400">
                                <a:solidFill>
                                  <a:schemeClr val="accent1"/>
                                </a:solidFill>
                                <a:prstDash val="solid"/>
                                <a:miter lim="800000"/>
                                <a:headEnd len="sm" w="sm" type="none"/>
                                <a:tailEnd len="med" w="med" type="triangle"/>
                              </a:ln>
                            </wps:spPr>
                            <wps:bodyPr anchorCtr="0" anchor="ctr" bIns="91425" lIns="91425" spcFirstLastPara="1" rIns="91425" wrap="square" tIns="91425">
                              <a:noAutofit/>
                            </wps:bodyPr>
                          </wps:wsp>
                        </wpg:grpSp>
                        <wps:wsp>
                          <wps:cNvSpPr/>
                          <wps:cNvPr id="7" name="Shape 7"/>
                          <wps:spPr>
                            <a:xfrm>
                              <a:off x="414875" y="914522"/>
                              <a:ext cx="766445" cy="252730"/>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44546a"/>
                                    <w:sz w:val="18"/>
                                    <w:vertAlign w:val="baseline"/>
                                  </w:rPr>
                                  <w:t xml:space="preserve">Market share</w:t>
                                </w:r>
                              </w:p>
                            </w:txbxContent>
                          </wps:txbx>
                          <wps:bodyPr anchorCtr="0" anchor="t" bIns="45700" lIns="45700" spcFirstLastPara="1" rIns="45700" wrap="square" tIns="45700">
                            <a:noAutofit/>
                          </wps:bodyPr>
                        </wps:wsp>
                        <wps:wsp>
                          <wps:cNvSpPr/>
                          <wps:cNvPr id="8" name="Shape 8"/>
                          <wps:spPr>
                            <a:xfrm rot="-5400000">
                              <a:off x="-228458" y="383409"/>
                              <a:ext cx="949325" cy="252730"/>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44546a"/>
                                    <w:sz w:val="18"/>
                                    <w:vertAlign w:val="baseline"/>
                                  </w:rPr>
                                  <w:t xml:space="preserve">Market growth</w:t>
                                </w:r>
                              </w:p>
                            </w:txbxContent>
                          </wps:txbx>
                          <wps:bodyPr anchorCtr="0" anchor="t" bIns="45700" lIns="45700" spcFirstLastPara="1" rIns="45700"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4762500</wp:posOffset>
                </wp:positionH>
                <wp:positionV relativeFrom="paragraph">
                  <wp:posOffset>63500</wp:posOffset>
                </wp:positionV>
                <wp:extent cx="1174115" cy="1131570"/>
                <wp:effectExtent b="0" l="0" r="0" t="0"/>
                <wp:wrapSquare wrapText="bothSides" distB="0" distT="0" distL="114300" distR="114300"/>
                <wp:docPr id="7"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1174115" cy="1131570"/>
                        </a:xfrm>
                        <a:prstGeom prst="rect"/>
                        <a:ln/>
                      </pic:spPr>
                    </pic:pic>
                  </a:graphicData>
                </a:graphic>
              </wp:anchor>
            </w:drawing>
          </mc:Fallback>
        </mc:AlternateContent>
      </w:r>
    </w:p>
    <w:p w:rsidR="00000000" w:rsidDel="00000000" w:rsidP="00000000" w:rsidRDefault="00000000" w:rsidRPr="00000000" w14:paraId="0000006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Segment 1: </w:t>
      </w:r>
    </w:p>
    <w:p w:rsidR="00000000" w:rsidDel="00000000" w:rsidP="00000000" w:rsidRDefault="00000000" w:rsidRPr="00000000" w14:paraId="00000070">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Segment 2: </w:t>
      </w:r>
    </w:p>
    <w:p w:rsidR="00000000" w:rsidDel="00000000" w:rsidP="00000000" w:rsidRDefault="00000000" w:rsidRPr="00000000" w14:paraId="0000007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Projected growth and current market share of Honduran businesses. Based on the SME meetings, and with any available secondary data, map the projected growth and current market share of Honduran businesses in these segments for the overall sector in a growth/share matrix. Provide a summary table of projected growth and current market share for each segment in order of high/high; high/low; low/high; low/low. Include any available summary statistics to validate this mapping.  </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MARKET TARGETING: </w:t>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What are the competitive factors that are relevant to reach different market segments? </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List all of Honduras’ major competitor countries or regions in the economic sector and indicate their relative strength in supplying the identified market segments. </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Competitor 1: who/where are they and what are they most important strengths and weaknesses in satisfying different market segment requirements </w:t>
      </w:r>
    </w:p>
    <w:p w:rsidR="00000000" w:rsidDel="00000000" w:rsidP="00000000" w:rsidRDefault="00000000" w:rsidRPr="00000000" w14:paraId="0000007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Competitor 2: who/where are they and what are they most important strengths and weaknesses in satisfying different market segment requirements</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For each of the market segments, evaluate (1) the overall attractiveness of the market (2) if there are identifiable barriers to entry and (3) Honduras’s productive capabilities to supply to that market segment. </w:t>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Market attractiveness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would consider if demand is large and/or growing, are there unmet demand (i.e. customers’ needs are not fully met which could be seasonable, etc.), is competition weak or strong, are there major risks and volatility in this market, are there substitute products which could undercut this market, is it a commodity market or are there differentiated demands, etc. </w:t>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Barriers to entry</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would consider any policies or regulations which limit competition, are there monopolies or other incumbency advantages such as proprietary technologies, switching costs for buyers, etc. </w:t>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Productive capabilities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would consider are there businesses which are supplying to this market already, is know-how transferable to this market, or is there a potential competitive advantage.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Segment 1: Market attractiveness, barriers to entry, productive capabilities </w:t>
      </w:r>
    </w:p>
    <w:p w:rsidR="00000000" w:rsidDel="00000000" w:rsidP="00000000" w:rsidRDefault="00000000" w:rsidRPr="00000000" w14:paraId="0000007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Segment 2:</w:t>
      </w:r>
    </w:p>
    <w:p w:rsidR="00000000" w:rsidDel="00000000" w:rsidP="00000000" w:rsidRDefault="00000000" w:rsidRPr="00000000" w14:paraId="00000080">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 the chart below, evaluate overall the degree to which Honduras has the best potential to compete and increase market share for the different market segments. </w:t>
      </w:r>
      <w:r w:rsidDel="00000000" w:rsidR="00000000" w:rsidRPr="00000000">
        <w:rPr>
          <w:rFonts w:ascii="Times New Roman" w:cs="Times New Roman" w:eastAsia="Times New Roman" w:hAnsi="Times New Roman"/>
          <w:b w:val="0"/>
          <w:i w:val="0"/>
          <w:smallCaps w:val="0"/>
          <w:strike w:val="0"/>
          <w:color w:val="000000"/>
          <w:sz w:val="22"/>
          <w:szCs w:val="22"/>
          <w:highlight w:val="green"/>
          <w:u w:val="none"/>
          <w:vertAlign w:val="baseline"/>
          <w:rtl w:val="0"/>
        </w:rPr>
        <w:t xml:space="preserve">Green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Honduras has distinct advantage; </w:t>
      </w:r>
      <w:r w:rsidDel="00000000" w:rsidR="00000000" w:rsidRPr="00000000">
        <w:rPr>
          <w:rFonts w:ascii="Times New Roman" w:cs="Times New Roman" w:eastAsia="Times New Roman" w:hAnsi="Times New Roman"/>
          <w:b w:val="0"/>
          <w:i w:val="0"/>
          <w:smallCaps w:val="0"/>
          <w:strike w:val="0"/>
          <w:color w:val="000000"/>
          <w:sz w:val="22"/>
          <w:szCs w:val="22"/>
          <w:highlight w:val="yellow"/>
          <w:u w:val="none"/>
          <w:vertAlign w:val="baseline"/>
          <w:rtl w:val="0"/>
        </w:rPr>
        <w:t xml:space="preserve">Yellow</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=inconclusive/no appreciable differences, </w:t>
      </w:r>
      <w:r w:rsidDel="00000000" w:rsidR="00000000" w:rsidRPr="00000000">
        <w:rPr>
          <w:rFonts w:ascii="Times New Roman" w:cs="Times New Roman" w:eastAsia="Times New Roman" w:hAnsi="Times New Roman"/>
          <w:b w:val="0"/>
          <w:i w:val="0"/>
          <w:smallCaps w:val="0"/>
          <w:strike w:val="0"/>
          <w:color w:val="000000"/>
          <w:sz w:val="22"/>
          <w:szCs w:val="22"/>
          <w:highlight w:val="red"/>
          <w:u w:val="none"/>
          <w:vertAlign w:val="baseline"/>
          <w:rtl w:val="0"/>
        </w:rPr>
        <w:t xml:space="preserve">Red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Honduras has a distinct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dis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advantage;</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70"/>
        <w:gridCol w:w="1870"/>
        <w:gridCol w:w="1870"/>
        <w:gridCol w:w="1870"/>
        <w:gridCol w:w="1870"/>
        <w:tblGridChange w:id="0">
          <w:tblGrid>
            <w:gridCol w:w="1870"/>
            <w:gridCol w:w="1870"/>
            <w:gridCol w:w="1870"/>
            <w:gridCol w:w="1870"/>
            <w:gridCol w:w="1870"/>
          </w:tblGrid>
        </w:tblGridChange>
      </w:tblGrid>
      <w:tr>
        <w:trPr>
          <w:cantSplit w:val="0"/>
          <w:tblHeader w:val="0"/>
        </w:trPr>
        <w:tc>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Market Attractiveness </w:t>
            </w:r>
          </w:p>
        </w:tc>
        <w:tc>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Barriers to Entry</w:t>
            </w:r>
          </w:p>
        </w:tc>
        <w:tc>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Productive Capabilities </w:t>
            </w:r>
          </w:p>
        </w:tc>
        <w:tc>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Overall </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Assessment </w:t>
            </w:r>
          </w:p>
        </w:tc>
      </w:tr>
      <w:tr>
        <w:trPr>
          <w:cantSplit w:val="0"/>
          <w:tblHeader w:val="0"/>
        </w:trPr>
        <w:tc>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Segment 1</w:t>
            </w:r>
          </w:p>
        </w:tc>
        <w:tc>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Segment 2</w:t>
            </w:r>
          </w:p>
        </w:tc>
        <w:tc>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Segment 3</w:t>
            </w:r>
          </w:p>
        </w:tc>
        <w:tc>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tc>
        <w:tc>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MARKET POSITIONING: </w:t>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In what target segments should Honduras position itself to create more inclusive economic opportunities? </w:t>
      </w: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Develop a positioning statement that highlights Honduras’ competitive advantage for top market segments. This positioning statement should identify (1) the market segment Honduras should target (2) the specific needs of that segment (3) the reasons why Honduras should pursue that segment (4) how Honduras could expand market share in that segment (better meet customer needs, offer lower price, or disrupt a market, etc.) (5) the current as well as future capabilities, Honduras should invest in to be competitive in the segment (6) any evidence to justify this. </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st</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segment positioning statement #1 </w:t>
      </w:r>
    </w:p>
    <w:p w:rsidR="00000000" w:rsidDel="00000000" w:rsidP="00000000" w:rsidRDefault="00000000" w:rsidRPr="00000000" w14:paraId="000000A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nd</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segment positioning statement #2</w:t>
      </w:r>
    </w:p>
    <w:p w:rsidR="00000000" w:rsidDel="00000000" w:rsidP="00000000" w:rsidRDefault="00000000" w:rsidRPr="00000000" w14:paraId="000000AB">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rd</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segment positioning statement #2</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Identify any major inclusion considerations for this exercise. For example, are certain segments likely to include or exclude the poor, women, youth, ethnic groups, persons with disabilities of the LGBT community. Final market segment selection should include inclusion considerations. </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highlight w:val="green"/>
          <w:u w:val="none"/>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Identify any data gaps and recommend additional primary data collection that would help TMS to better understand the competitive position of Honduran businesses in these markets. Make note of any major assumptions that could influence subsequent decision making. </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rebuchet MS"/>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See guidance at </w:t>
      </w:r>
      <w:hyperlink r:id="rId1">
        <w:r w:rsidDel="00000000" w:rsidR="00000000" w:rsidRPr="00000000">
          <w:rPr>
            <w:rFonts w:ascii="Times New Roman" w:cs="Times New Roman" w:eastAsia="Times New Roman" w:hAnsi="Times New Roman"/>
            <w:b w:val="0"/>
            <w:i w:val="0"/>
            <w:smallCaps w:val="0"/>
            <w:strike w:val="0"/>
            <w:color w:val="0563c1"/>
            <w:sz w:val="20"/>
            <w:szCs w:val="20"/>
            <w:u w:val="single"/>
            <w:shd w:fill="auto" w:val="clear"/>
            <w:vertAlign w:val="baseline"/>
            <w:rtl w:val="0"/>
          </w:rPr>
          <w:t xml:space="preserve">https://www.marketlinks.org/good-practice-center/value-chain-wiki/frameworks-analyzing-relationships</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Transaction cost framework relates to alliances. Cooperation and competition framework described.</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sz w:val="20"/>
          <w:szCs w:val="20"/>
          <w:rtl w:val="0"/>
        </w:rPr>
        <w:t xml:space="preserve">Relationships Adversarial</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effective to ineffective, strong to weak, formal to informal, value-added to extractive</w:t>
      </w:r>
      <w:r w:rsidDel="00000000" w:rsidR="00000000" w:rsidRPr="00000000">
        <w:rPr>
          <w:rtl w:val="0"/>
        </w:rPr>
      </w:r>
    </w:p>
  </w:footnote>
  <w:footnote w:id="1">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See </w:t>
      </w:r>
      <w:hyperlink r:id="rId2">
        <w:r w:rsidDel="00000000" w:rsidR="00000000" w:rsidRPr="00000000">
          <w:rPr>
            <w:rFonts w:ascii="Times New Roman" w:cs="Times New Roman" w:eastAsia="Times New Roman" w:hAnsi="Times New Roman"/>
            <w:b w:val="0"/>
            <w:i w:val="0"/>
            <w:smallCaps w:val="0"/>
            <w:strike w:val="0"/>
            <w:color w:val="0563c1"/>
            <w:sz w:val="20"/>
            <w:szCs w:val="20"/>
            <w:u w:val="single"/>
            <w:shd w:fill="auto" w:val="clear"/>
            <w:vertAlign w:val="baseline"/>
            <w:rtl w:val="0"/>
          </w:rPr>
          <w:t xml:space="preserve">https://www.marketlinks.org/good-practice-center/value-chain-wiki/impacts-informal-rules-value-chain-performance</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for more information on informal rules that impact business performance. </w:t>
      </w:r>
    </w:p>
  </w:footnote>
  <w:footnote w:id="2">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Segmentation may consider size and other criteria. Segments should be validated with TMS in first milestone.</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decimal"/>
      <w:lvlText w:val="%1.%2"/>
      <w:lvlJc w:val="left"/>
      <w:pPr>
        <w:ind w:left="360" w:hanging="360"/>
      </w:pPr>
      <w:rPr>
        <w:b w:val="1"/>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abstractNum w:abstractNumId="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360" w:hanging="360"/>
      </w:pPr>
      <w:rPr/>
    </w:lvl>
    <w:lvl w:ilvl="1">
      <w:start w:val="1"/>
      <w:numFmt w:val="decimal"/>
      <w:lvlText w:val="%1.%2"/>
      <w:lvlJc w:val="left"/>
      <w:pPr>
        <w:ind w:left="360" w:hanging="360"/>
      </w:pPr>
      <w:rPr>
        <w:b w:val="1"/>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rPr>
      <w:rFonts w:ascii="Trebuchet MS" w:cs="Trebuchet MS" w:eastAsia="Trebuchet MS" w:hAnsi="Trebuchet MS"/>
      <w:sz w:val="18"/>
      <w:szCs w:val="18"/>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5C2CA0"/>
    <w:pPr>
      <w:spacing w:after="200" w:line="276" w:lineRule="auto"/>
    </w:pPr>
  </w:style>
  <w:style w:type="paragraph" w:styleId="Heading2">
    <w:name w:val="heading 2"/>
    <w:basedOn w:val="Normal"/>
    <w:next w:val="Normal"/>
    <w:link w:val="Heading2Char"/>
    <w:uiPriority w:val="9"/>
    <w:unhideWhenUsed w:val="1"/>
    <w:qFormat w:val="1"/>
    <w:rsid w:val="005C2CA0"/>
    <w:pPr>
      <w:keepNext w:val="1"/>
      <w:keepLines w:val="1"/>
      <w:spacing w:after="0" w:before="40"/>
      <w:outlineLvl w:val="1"/>
    </w:pPr>
    <w:rPr>
      <w:rFonts w:asciiTheme="majorHAnsi" w:cstheme="majorBidi" w:eastAsiaTheme="majorEastAsia" w:hAnsiTheme="majorHAnsi"/>
      <w:color w:val="2f5496" w:themeColor="accent1" w:themeShade="0000BF"/>
      <w:sz w:val="26"/>
      <w:szCs w:val="26"/>
    </w:rPr>
  </w:style>
  <w:style w:type="paragraph" w:styleId="Heading4">
    <w:name w:val="heading 4"/>
    <w:basedOn w:val="Normal"/>
    <w:next w:val="Normal"/>
    <w:link w:val="Heading4Char"/>
    <w:uiPriority w:val="9"/>
    <w:unhideWhenUsed w:val="1"/>
    <w:qFormat w:val="1"/>
    <w:rsid w:val="00AC283E"/>
    <w:pPr>
      <w:outlineLvl w:val="3"/>
    </w:pPr>
    <w:rPr>
      <w:rFonts w:ascii="Trebuchet MS" w:hAnsi="Trebuchet MS"/>
      <w:sz w:val="18"/>
      <w:szCs w:val="1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4Char" w:customStyle="1">
    <w:name w:val="Heading 4 Char"/>
    <w:basedOn w:val="DefaultParagraphFont"/>
    <w:link w:val="Heading4"/>
    <w:uiPriority w:val="9"/>
    <w:rsid w:val="00AC283E"/>
    <w:rPr>
      <w:rFonts w:ascii="Trebuchet MS" w:hAnsi="Trebuchet MS"/>
      <w:sz w:val="18"/>
      <w:szCs w:val="18"/>
    </w:rPr>
  </w:style>
  <w:style w:type="character" w:styleId="Heading2Char" w:customStyle="1">
    <w:name w:val="Heading 2 Char"/>
    <w:basedOn w:val="DefaultParagraphFont"/>
    <w:link w:val="Heading2"/>
    <w:uiPriority w:val="9"/>
    <w:rsid w:val="005C2CA0"/>
    <w:rPr>
      <w:rFonts w:asciiTheme="majorHAnsi" w:cstheme="majorBidi" w:eastAsiaTheme="majorEastAsia" w:hAnsiTheme="majorHAnsi"/>
      <w:color w:val="2f5496" w:themeColor="accent1" w:themeShade="0000BF"/>
      <w:sz w:val="26"/>
      <w:szCs w:val="26"/>
    </w:rPr>
  </w:style>
  <w:style w:type="character" w:styleId="CommentReference">
    <w:name w:val="annotation reference"/>
    <w:basedOn w:val="DefaultParagraphFont"/>
    <w:uiPriority w:val="99"/>
    <w:semiHidden w:val="1"/>
    <w:unhideWhenUsed w:val="1"/>
    <w:rsid w:val="005C2CA0"/>
    <w:rPr>
      <w:sz w:val="16"/>
      <w:szCs w:val="16"/>
    </w:rPr>
  </w:style>
  <w:style w:type="paragraph" w:styleId="CommentText">
    <w:name w:val="annotation text"/>
    <w:basedOn w:val="Normal"/>
    <w:link w:val="CommentTextChar"/>
    <w:uiPriority w:val="99"/>
    <w:semiHidden w:val="1"/>
    <w:unhideWhenUsed w:val="1"/>
    <w:rsid w:val="005C2CA0"/>
    <w:pPr>
      <w:spacing w:line="240" w:lineRule="auto"/>
    </w:pPr>
    <w:rPr>
      <w:sz w:val="20"/>
      <w:szCs w:val="20"/>
    </w:rPr>
  </w:style>
  <w:style w:type="character" w:styleId="CommentTextChar" w:customStyle="1">
    <w:name w:val="Comment Text Char"/>
    <w:basedOn w:val="DefaultParagraphFont"/>
    <w:link w:val="CommentText"/>
    <w:uiPriority w:val="99"/>
    <w:semiHidden w:val="1"/>
    <w:rsid w:val="005C2CA0"/>
    <w:rPr>
      <w:sz w:val="20"/>
      <w:szCs w:val="20"/>
    </w:rPr>
  </w:style>
  <w:style w:type="paragraph" w:styleId="NoSpacing">
    <w:name w:val="No Spacing"/>
    <w:uiPriority w:val="1"/>
    <w:qFormat w:val="1"/>
    <w:rsid w:val="005C2CA0"/>
  </w:style>
  <w:style w:type="paragraph" w:styleId="BalloonText">
    <w:name w:val="Balloon Text"/>
    <w:basedOn w:val="Normal"/>
    <w:link w:val="BalloonTextChar"/>
    <w:uiPriority w:val="99"/>
    <w:semiHidden w:val="1"/>
    <w:unhideWhenUsed w:val="1"/>
    <w:rsid w:val="005C2CA0"/>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5C2CA0"/>
    <w:rPr>
      <w:rFonts w:ascii="Segoe UI" w:cs="Segoe UI" w:hAnsi="Segoe UI"/>
      <w:sz w:val="18"/>
      <w:szCs w:val="18"/>
    </w:rPr>
  </w:style>
  <w:style w:type="paragraph" w:styleId="ListParagraph">
    <w:name w:val="List Paragraph"/>
    <w:basedOn w:val="Normal"/>
    <w:uiPriority w:val="34"/>
    <w:qFormat w:val="1"/>
    <w:rsid w:val="00F11318"/>
    <w:pPr>
      <w:spacing w:after="0" w:line="240" w:lineRule="auto"/>
      <w:ind w:left="720"/>
      <w:contextualSpacing w:val="1"/>
    </w:pPr>
  </w:style>
  <w:style w:type="paragraph" w:styleId="CommentSubject">
    <w:name w:val="annotation subject"/>
    <w:basedOn w:val="CommentText"/>
    <w:next w:val="CommentText"/>
    <w:link w:val="CommentSubjectChar"/>
    <w:uiPriority w:val="99"/>
    <w:semiHidden w:val="1"/>
    <w:unhideWhenUsed w:val="1"/>
    <w:rsid w:val="009720C7"/>
    <w:rPr>
      <w:b w:val="1"/>
      <w:bCs w:val="1"/>
    </w:rPr>
  </w:style>
  <w:style w:type="character" w:styleId="CommentSubjectChar" w:customStyle="1">
    <w:name w:val="Comment Subject Char"/>
    <w:basedOn w:val="CommentTextChar"/>
    <w:link w:val="CommentSubject"/>
    <w:uiPriority w:val="99"/>
    <w:semiHidden w:val="1"/>
    <w:rsid w:val="009720C7"/>
    <w:rPr>
      <w:b w:val="1"/>
      <w:bCs w:val="1"/>
      <w:sz w:val="20"/>
      <w:szCs w:val="20"/>
    </w:rPr>
  </w:style>
  <w:style w:type="table" w:styleId="TableGrid">
    <w:name w:val="Table Grid"/>
    <w:basedOn w:val="TableNormal"/>
    <w:uiPriority w:val="39"/>
    <w:rsid w:val="00A76E6C"/>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FootnoteText">
    <w:name w:val="footnote text"/>
    <w:basedOn w:val="Normal"/>
    <w:link w:val="FootnoteTextChar"/>
    <w:uiPriority w:val="99"/>
    <w:semiHidden w:val="1"/>
    <w:unhideWhenUsed w:val="1"/>
    <w:rsid w:val="00CE00ED"/>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CE00ED"/>
    <w:rPr>
      <w:sz w:val="20"/>
      <w:szCs w:val="20"/>
    </w:rPr>
  </w:style>
  <w:style w:type="character" w:styleId="FootnoteReference">
    <w:name w:val="footnote reference"/>
    <w:basedOn w:val="DefaultParagraphFont"/>
    <w:uiPriority w:val="99"/>
    <w:semiHidden w:val="1"/>
    <w:unhideWhenUsed w:val="1"/>
    <w:rsid w:val="00CE00ED"/>
    <w:rPr>
      <w:vertAlign w:val="superscript"/>
    </w:rPr>
  </w:style>
  <w:style w:type="character" w:styleId="Hyperlink">
    <w:name w:val="Hyperlink"/>
    <w:basedOn w:val="DefaultParagraphFont"/>
    <w:uiPriority w:val="99"/>
    <w:unhideWhenUsed w:val="1"/>
    <w:rsid w:val="00CE00ED"/>
    <w:rPr>
      <w:color w:val="0563c1" w:themeColor="hyperlink"/>
      <w:u w:val="single"/>
    </w:rPr>
  </w:style>
  <w:style w:type="character" w:styleId="UnresolvedMention">
    <w:name w:val="Unresolved Mention"/>
    <w:basedOn w:val="DefaultParagraphFont"/>
    <w:uiPriority w:val="99"/>
    <w:semiHidden w:val="1"/>
    <w:unhideWhenUsed w:val="1"/>
    <w:rsid w:val="00CE00ED"/>
    <w:rPr>
      <w:color w:val="808080"/>
      <w:shd w:color="auto" w:fill="e6e6e6"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beamexchange.org/resources/1995/"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notes.xml.rels><?xml version="1.0" encoding="UTF-8" standalone="yes"?><Relationships xmlns="http://schemas.openxmlformats.org/package/2006/relationships"><Relationship Id="rId1" Type="http://schemas.openxmlformats.org/officeDocument/2006/relationships/hyperlink" Target="https://www.marketlinks.org/good-practice-center/value-chain-wiki/frameworks-analyzing-relationships" TargetMode="External"/><Relationship Id="rId2" Type="http://schemas.openxmlformats.org/officeDocument/2006/relationships/hyperlink" Target="https://www.marketlinks.org/good-practice-center/value-chain-wiki/impacts-informal-rules-value-chain-perform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8WwJ9Pd3KFA0rN+M9sh/z6wM+w==">CgMxLjA4AHIhMXJBc2hfa3NfTWE3VXpNZjJHT0ZnYTdaWlpTUGZSLXZY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2018-07-13T17:08:00Z</dcterms:created>
  <dc:creator>Eric Derks</dc:creator>
</cp:coreProperties>
</file>